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/>
          <w:bCs/>
          <w:color w:val="000000" w:themeColor="text1"/>
          <w:sz w:val="22"/>
          <w:szCs w:val="22"/>
          <w:highlight w:val="white"/>
        </w:rPr>
      </w:pPr>
      <w:r>
        <w:rPr>
          <w:b/>
          <w:bCs/>
          <w:color w:val="000000" w:themeColor="text1"/>
          <w:sz w:val="22"/>
          <w:szCs w:val="22"/>
          <w:highlight w:val="none"/>
        </w:rPr>
        <w:t xml:space="preserve">Приложение к Техническим требованиям № 2</w:t>
      </w:r>
      <w:r>
        <w:rPr>
          <w:b/>
          <w:bCs/>
          <w:color w:val="000000" w:themeColor="text1"/>
          <w:sz w:val="22"/>
          <w:szCs w:val="22"/>
          <w:highlight w:val="white"/>
        </w:rPr>
      </w:r>
      <w:r>
        <w:rPr>
          <w:b/>
          <w:bCs/>
          <w:color w:val="000000" w:themeColor="text1"/>
          <w:sz w:val="22"/>
          <w:szCs w:val="22"/>
          <w:highlight w:val="white"/>
        </w:rPr>
      </w:r>
    </w:p>
    <w:p>
      <w:pPr>
        <w:jc w:val="center"/>
        <w:rPr>
          <w:b/>
          <w:bCs/>
          <w:color w:val="000000" w:themeColor="text1"/>
          <w:sz w:val="22"/>
          <w:szCs w:val="22"/>
          <w:highlight w:val="white"/>
        </w:rPr>
      </w:pPr>
      <w:r>
        <w:rPr>
          <w:b/>
          <w:color w:val="000000" w:themeColor="text1"/>
          <w:sz w:val="22"/>
          <w:szCs w:val="22"/>
          <w:highlight w:val="none"/>
        </w:rPr>
      </w:r>
      <w:r>
        <w:rPr>
          <w:b/>
          <w:color w:val="000000" w:themeColor="text1"/>
          <w:sz w:val="22"/>
          <w:szCs w:val="22"/>
          <w:highlight w:val="none"/>
        </w:rPr>
      </w:r>
    </w:p>
    <w:p>
      <w:pPr>
        <w:pStyle w:val="887"/>
        <w:jc w:val="center"/>
        <w:rPr>
          <w:b/>
          <w:bCs/>
          <w:color w:val="000000" w:themeColor="text1"/>
          <w:sz w:val="22"/>
          <w:szCs w:val="22"/>
          <w:highlight w:val="none"/>
        </w:rPr>
      </w:pPr>
      <w:r>
        <w:rPr>
          <w:b/>
          <w:color w:val="000000" w:themeColor="text1"/>
          <w:sz w:val="22"/>
          <w:szCs w:val="22"/>
          <w:highlight w:val="white"/>
        </w:rPr>
        <w:t xml:space="preserve">Требования к оформлению и составлению документации по ценообразованию:</w:t>
      </w:r>
      <w:r>
        <w:rPr>
          <w:b/>
          <w:color w:val="000000" w:themeColor="text1"/>
          <w:sz w:val="22"/>
          <w:szCs w:val="22"/>
          <w:highlight w:val="white"/>
        </w:rPr>
      </w:r>
      <w:r>
        <w:rPr>
          <w:b/>
          <w:bCs/>
          <w:color w:val="000000" w:themeColor="text1"/>
          <w:sz w:val="22"/>
          <w:szCs w:val="22"/>
          <w:highlight w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  <w:t xml:space="preserve">не допуск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ается, кроме случаев, прямо указанных в настоящих требованиях.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Версия программного комплекса «Гранд-Смета» (далее–ПК «Гранд-смета») должна быть не ниже 2021.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составлении сметной документации необходимо использовать сметно-нормативную базу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«ФСНБ-2022 (с Изм. 1-16)»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актуальной редакции с применением индексов перевода по данным ФГИС на момент составления сметной документации</w:t>
      </w:r>
      <w:bookmarkStart w:id="0" w:name="undefined"/>
      <w:r>
        <w:rPr>
          <w:color w:val="000000" w:themeColor="text1"/>
          <w:highlight w:val="white"/>
        </w:rPr>
      </w:r>
      <w:bookmarkEnd w:id="0"/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Определение сметной стоимости работ при новом строительстве возможно следующими методами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277" w:leader="none"/>
        </w:tabs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  <w:t xml:space="preserve">Ресурсно-индексным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none"/>
        </w:rPr>
        <w:t xml:space="preserve"> -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u w:val="none"/>
        </w:rPr>
        <w:t xml:space="preserve">с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u w:val="none"/>
        </w:rPr>
        <w:t xml:space="preserve">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u w:val="none"/>
        </w:rPr>
        <w:t xml:space="preserve">ровне цен. Сметная стоимость, определенная с применением ресурсно-индексного метода, приводится в ЛСР (ЛС) в текущем уровне цен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277" w:leader="none"/>
        </w:tabs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Сметная цена материальных ресурсов и (или) оборудования (далее –МТР), закупаемых на территории региона субъекта Российской Федерации, определенным в базисном уровне цен п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о состоянию на 01.01.2022 с использованием ФСБЦ-2022,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– ФГИС ЦС) по субъекту Российской Федерации.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случае 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  <w:highlight w:val="white"/>
        </w:rPr>
        <w:t xml:space="preserve">отсутствия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единичных расценок в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i/>
          <w:color w:val="000000" w:themeColor="text1"/>
          <w:sz w:val="22"/>
          <w:szCs w:val="22"/>
          <w:highlight w:val="white"/>
        </w:rPr>
        <w:t xml:space="preserve">При отсутствии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информации о сметных ценах в ФГИС ЦС 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ФСБЦ-2022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по материальным ресурсам и оборудованию, их сметная цена формируется </w:t>
      </w:r>
      <w:bookmarkStart w:id="1" w:name="undefined_Копия_1"/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Методом анализа ТКП </w:t>
      </w:r>
      <w:bookmarkEnd w:id="1"/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соответствии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№2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настоящим Требованиям.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887"/>
        <w:ind w:firstLine="708"/>
        <w:jc w:val="both"/>
        <w:rPr>
          <w:color w:val="000000" w:themeColor="text1"/>
          <w:sz w:val="22"/>
          <w:szCs w:val="22"/>
          <w:highlight w:val="white"/>
        </w:rPr>
      </w:pPr>
      <w:r>
        <w:rPr>
          <w:color w:val="000000" w:themeColor="text1"/>
          <w:sz w:val="22"/>
          <w:szCs w:val="22"/>
          <w:highlight w:val="white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</w:t>
      </w:r>
      <w:r>
        <w:rPr>
          <w:color w:val="000000" w:themeColor="text1"/>
          <w:sz w:val="22"/>
          <w:szCs w:val="22"/>
          <w:highlight w:val="white"/>
        </w:rPr>
        <w:t xml:space="preserve">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  <w:r>
        <w:rPr>
          <w:color w:val="000000" w:themeColor="text1"/>
          <w:sz w:val="22"/>
          <w:szCs w:val="22"/>
          <w:highlight w:val="white"/>
        </w:rPr>
      </w:r>
      <w:r>
        <w:rPr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определении сметной стоимости в 2-х уровнях цен (текущем и б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Транспортные затраты определяются следующими методами: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066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по доставке материальных ресурсов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jc w:val="both"/>
        <w:spacing w:before="40" w:after="40"/>
        <w:widowControl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Методом анализа ТКП в соответствии в соответствии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№2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настоящим Требованиям.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widowControl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066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b/>
          <w:bCs/>
          <w:color w:val="000000" w:themeColor="text1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highlight w:val="white"/>
        </w:rPr>
        <w:t xml:space="preserve">по доставке оборудования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widowControl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widowControl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Методом анализа ТКП в соответствии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№2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настоящим Требованиям.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tabs>
          <w:tab w:val="left" w:pos="284" w:leader="none"/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ind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Если транспортировка осуществляется заказчиком самостоятельно (самовывоз), данный показатель не учитывается.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8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2% - для материальных ресурсов (кроме металлоконструкций);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8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0,75% - для металлоконструкций;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8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1,2% - для оборудования.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Затраты на эксплуатацию строительной техники, не учтенной нормами и расценками, включенными в ФРСН, определяются Методом анализа ТКП в соответствии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№2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к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настоящим Требованиям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и включаются в Главу 9 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СРСС.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технологических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процессов; производственный и хозяйственный инвентарь, в т.ч. мебель.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применении коэффициенты перемножаются, результат округляется до семи знаков после запятой.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формировании цены по сборникам ГЭСН(ГЭСНр, ГЭСНм, ГЭСНп) нормативы сметной</w:t>
      </w:r>
      <w:r>
        <w:rPr>
          <w:color w:val="000000" w:themeColor="text1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прибыли принимать на СМР – 40% от ФОТ, на ПНР – 36% от ФОТ.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Сметная стоимость пусконаладочных работ определяется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lang w:val="en-US"/>
        </w:rPr>
        <w:t xml:space="preserve">VII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 Методики определения сметной стоимости строительства: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10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Затраты на проведение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10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Пусконаладочные работ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строительства, отображаются справочно и в сметной документации не учитываются.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</w:pPr>
      <w:r>
        <w:rPr>
          <w:color w:val="000000" w:themeColor="text1"/>
          <w:highlight w:val="white"/>
        </w:rPr>
      </w:r>
      <w:bookmarkStart w:id="3" w:name="undefined_Копия_3"/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  <w:t xml:space="preserve">округлять:</w:t>
      </w:r>
      <w:bookmarkEnd w:id="3"/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</w:r>
    </w:p>
    <w:p>
      <w:pPr>
        <w:pStyle w:val="1015"/>
        <w:numPr>
          <w:ilvl w:val="0"/>
          <w:numId w:val="11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в рублях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до целых единиц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11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рублях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до двух знаков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после запятой.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Выходные формы сметных расчетов должны соответствовать Образцам по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приложениям 1.5.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066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2"/>
          <w:numId w:val="6"/>
        </w:numPr>
        <w:ind w:left="0" w:right="0" w:firstLine="567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186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По предоставляемой электроэнергии (в том числе, в составе стоимости машино-часа):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Рассчитанная сумма возврата стоимости </w:t>
      </w:r>
      <w:r>
        <w:rPr>
          <w:color w:val="000000" w:themeColor="text1"/>
          <w:highlight w:val="white"/>
        </w:rPr>
        <w:t xml:space="preserve">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Индекс пересчета в текущие цены применять аналогичный примененному в сметной документации.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При применении индексов по статьям затрат в сметной документации для данного ресурса применять индекс на материалы.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По предоставляемым грузоподъемным механизмам, учтенным в составе сметных норм и расценок: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Исключать из норм и расценок предоставляемые грузоподъемные механизмы.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наличии двух и более сметных расчетов составлять ССР в текущем уровне цен по форме Приложения № 1.1 к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ЛСР (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ЛС) к основному договору и ко всем заключенным д/с к нему. В итогах ССР (справочно) указывать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№ 1.2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ЛСР (ЛС) разрабатываются отдельно на исключаемые и дополнительные объемы работ. К сме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В ССР, построчные и итоговые суммы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указывать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в рублях с округлением до двух знаков после запятой. Величину НДС не указывать.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Сметная документация должна быть представлена в двух вариантах: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5"/>
        <w:numPr>
          <w:ilvl w:val="0"/>
          <w:numId w:val="9"/>
        </w:numPr>
        <w:ind w:left="0" w:right="0" w:firstLine="567"/>
        <w:jc w:val="both"/>
        <w:spacing w:before="40" w:after="40"/>
        <w:tabs>
          <w:tab w:val="clear" w:pos="708" w:leader="none"/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на бумажном носи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теле (количество указано в конкурсной документации) Образец ЛСР в соответствии с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 1.5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к Требования к оформлению и составлению документации по ценообразованию;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9"/>
        </w:numPr>
        <w:ind w:left="0" w:right="0" w:firstLine="567"/>
        <w:jc w:val="both"/>
        <w:spacing w:before="40" w:after="40"/>
        <w:tabs>
          <w:tab w:val="clear" w:pos="708" w:leader="none"/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на электронном носителе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9"/>
        </w:numPr>
        <w:ind w:left="0" w:right="0" w:firstLine="567"/>
        <w:jc w:val="both"/>
        <w:spacing w:before="40" w:after="40"/>
        <w:tabs>
          <w:tab w:val="clear" w:pos="708" w:leader="none"/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формате ПК «Гранд-смета» выходная форма для печати указана ниже: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887"/>
        <w:ind w:left="0" w:right="0" w:firstLine="0"/>
        <w:rPr>
          <w:color w:val="000000" w:themeColor="text1"/>
          <w:sz w:val="20"/>
          <w:szCs w:val="20"/>
          <w:highlight w:val="white"/>
        </w:rPr>
        <w:sectPr>
          <w:footnotePr/>
          <w:endnotePr/>
          <w:type w:val="nextPage"/>
          <w:pgSz w:w="11906" w:h="16838" w:orient="portrait"/>
          <w:pgMar w:top="851" w:right="567" w:bottom="425" w:left="1276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2505" cy="4377690"/>
                <wp:effectExtent l="0" t="0" r="0" b="0"/>
                <wp:docPr id="2" name="Изображение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Изображение1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4802505" cy="43776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78.15pt;height:344.70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1004"/>
        <w:ind w:left="928" w:right="666"/>
        <w:jc w:val="right"/>
        <w:rPr>
          <w:color w:val="000000" w:themeColor="text1"/>
          <w:sz w:val="18"/>
          <w:szCs w:val="18"/>
          <w:highlight w:val="white"/>
        </w:rPr>
      </w:pPr>
      <w:r>
        <w:rPr>
          <w:color w:val="000000" w:themeColor="text1"/>
          <w:sz w:val="18"/>
          <w:szCs w:val="18"/>
          <w:highlight w:val="white"/>
        </w:rPr>
        <w:t xml:space="preserve">Приложение №1.1 </w:t>
      </w:r>
      <w:r>
        <w:rPr>
          <w:color w:val="000000" w:themeColor="text1"/>
          <w:sz w:val="18"/>
          <w:szCs w:val="18"/>
          <w:highlight w:val="white"/>
        </w:rPr>
      </w:r>
      <w:r>
        <w:rPr>
          <w:color w:val="000000" w:themeColor="text1"/>
          <w:sz w:val="18"/>
          <w:szCs w:val="18"/>
          <w:highlight w:val="white"/>
        </w:rPr>
      </w:r>
    </w:p>
    <w:p>
      <w:pPr>
        <w:pStyle w:val="1015"/>
        <w:ind w:left="928" w:right="666" w:firstLine="0"/>
        <w:jc w:val="right"/>
        <w:rPr>
          <w:rFonts w:ascii="Times New Roman" w:hAnsi="Times New Roman"/>
          <w:color w:val="000000" w:themeColor="text1"/>
          <w:sz w:val="18"/>
          <w:szCs w:val="1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/>
          <w:color w:val="000000" w:themeColor="text1"/>
          <w:sz w:val="18"/>
          <w:szCs w:val="1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18"/>
          <w:szCs w:val="18"/>
          <w:highlight w:val="white"/>
        </w:rPr>
      </w:r>
      <w:r>
        <w:rPr>
          <w:rFonts w:ascii="Times New Roman" w:hAnsi="Times New Roman"/>
          <w:color w:val="000000" w:themeColor="text1"/>
          <w:sz w:val="18"/>
          <w:szCs w:val="18"/>
          <w:highlight w:val="white"/>
        </w:rPr>
      </w:r>
    </w:p>
    <w:tbl>
      <w:tblPr>
        <w:tblW w:w="1583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4"/>
        <w:gridCol w:w="1840"/>
        <w:gridCol w:w="11"/>
        <w:gridCol w:w="35"/>
        <w:gridCol w:w="1930"/>
        <w:gridCol w:w="15"/>
        <w:gridCol w:w="293"/>
        <w:gridCol w:w="1667"/>
        <w:gridCol w:w="9"/>
        <w:gridCol w:w="116"/>
      </w:tblGrid>
      <w:tr>
        <w:tblPrEx/>
        <w:trPr>
          <w:trHeight w:val="312"/>
        </w:trPr>
        <w:tc>
          <w:tcPr>
            <w:gridSpan w:val="4"/>
            <w:shd w:val="clear" w:color="ffffff" w:fill="ffffff"/>
            <w:tcW w:w="352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color w:val="000000" w:themeColor="text1"/>
                <w:sz w:val="18"/>
                <w:szCs w:val="18"/>
                <w:highlight w:val="white"/>
              </w:rPr>
              <w:t xml:space="preserve">ОБРАЗЕЦ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6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85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W w:w="3951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Приложение __ от ______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к Договору № _________ от ______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ffffff" w:fill="ffffff"/>
            <w:tcW w:w="3529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СОГЛАСОВАНО: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6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805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УТВЕРЖДАЮ: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ffffff" w:fill="ffffff"/>
            <w:tcW w:w="352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___________________ФИО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6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805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___________________ФИО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ffffff" w:fill="ffffff"/>
            <w:tcW w:w="648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"_______" _____________ 20___ г.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6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800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"______" ____________________ 20__ г.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65"/>
        </w:trPr>
        <w:tc>
          <w:tcPr>
            <w:shd w:val="clear" w:color="ffffff" w:fill="ffffff"/>
            <w:tcW w:w="123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91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1"/>
            <w:shd w:val="clear" w:color="ffffff" w:fill="ffffff"/>
            <w:tcW w:w="725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Сводный сметный расчет в сумме:______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5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руб. без НДС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144"/>
        </w:trPr>
        <w:tc>
          <w:tcPr>
            <w:shd w:val="clear" w:color="ffffff" w:fill="ffffff"/>
            <w:tcW w:w="123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91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280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СВОДНЫЙ СМЕТНЫЙ РАСЧЕТ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108"/>
        </w:trPr>
        <w:tc>
          <w:tcPr>
            <w:shd w:val="clear" w:color="ffffff" w:fill="ffffff"/>
            <w:tcW w:w="1238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91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3"/>
            <w:shd w:val="clear" w:color="ffffff" w:fill="ffffff"/>
            <w:tcBorders>
              <w:bottom w:val="single" w:color="000000" w:sz="4" w:space="0"/>
            </w:tcBorders>
            <w:tcW w:w="1020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1238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91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280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(наименование стройки)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1238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2"/>
            <w:shd w:val="clear" w:color="ffffff" w:fill="ffffff"/>
            <w:tcW w:w="8678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Составлен в ценах, соответствующих периоду выполнения работ по договору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851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80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6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пп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Номера сметных расчетов и смет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7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Наименование глав, объектов, работ и затрат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25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Сметная стоимость,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5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Общая сметная стоимость,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7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строительных работ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монтажных работ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оборудования, мебели, инвентаря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прочих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5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2291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right w:val="single" w:color="000000" w:sz="4" w:space="0"/>
            </w:tcBorders>
            <w:tcW w:w="2947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3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4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5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right w:val="single" w:color="000000" w:sz="4" w:space="0"/>
            </w:tcBorders>
            <w:tcW w:w="185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97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7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97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8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1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6" w:type="dxa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Глава 2. Основные объекты строительства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91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947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 …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7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4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7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975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по Главе 2. "Основные объекты строительства"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по Главам 1-12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1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6" w:type="dxa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Непредвиденные затраты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91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947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7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7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975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с учетом "Непредвиденные затраты"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по сводному расчету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ffffff" w:fill="ffffff"/>
            <w:tcW w:w="131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63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Составил: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</w:tcBorders>
            <w:tcW w:w="342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642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82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196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223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792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W w:w="1311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635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25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4" w:space="0"/>
            </w:tcBorders>
            <w:tcW w:w="5431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(должность, подпись, расшифровка)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3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92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W w:w="1311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635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Проверил: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</w:tcBorders>
            <w:tcW w:w="3425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642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821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1968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2238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792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W w:w="1311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635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25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4" w:space="0"/>
            </w:tcBorders>
            <w:tcW w:w="5431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(должность, подпись, расшифровка)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3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92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</w:tr>
    </w:tbl>
    <w:p>
      <w:pPr>
        <w:pStyle w:val="1004"/>
        <w:ind w:left="928"/>
        <w:rPr>
          <w:b/>
          <w:color w:val="000000" w:themeColor="text1"/>
          <w:sz w:val="18"/>
          <w:szCs w:val="18"/>
          <w:highlight w:val="white"/>
        </w:rPr>
        <w:sectPr>
          <w:footnotePr/>
          <w:endnotePr/>
          <w:type w:val="nextPage"/>
          <w:pgSz w:w="16838" w:h="11906" w:orient="landscape"/>
          <w:pgMar w:top="1276" w:right="851" w:bottom="567" w:left="425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  <w:object w:dxaOrig="556" w:dyaOrig="126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85.50pt;height:53.25pt;mso-wrap-distance-left:0.00pt;mso-wrap-distance-top:0.00pt;mso-wrap-distance-right:0.00pt;mso-wrap-distance-bottom:0.00pt;" filled="f" stroked="f">
            <v:path textboxrect="0,0,0,0"/>
            <v:imagedata r:id="rId14" o:title=""/>
          </v:shape>
          <o:OLEObject DrawAspect="Content" ObjectID="_1525042" ProgID="Excel.Sheet.12" ShapeID="_x0000_i2" Type="Embed"/>
        </w:object>
      </w:r>
      <w:r>
        <w:rPr>
          <w:b/>
          <w:color w:val="000000" w:themeColor="text1"/>
          <w:sz w:val="18"/>
          <w:szCs w:val="18"/>
          <w:highlight w:val="white"/>
        </w:rPr>
      </w:r>
      <w:r>
        <w:rPr>
          <w:b/>
          <w:color w:val="000000" w:themeColor="text1"/>
          <w:sz w:val="18"/>
          <w:szCs w:val="18"/>
          <w:highlight w:val="white"/>
        </w:rPr>
      </w:r>
    </w:p>
    <w:p>
      <w:pPr>
        <w:pStyle w:val="887"/>
        <w:ind w:left="397"/>
        <w:rPr>
          <w:color w:val="000000" w:themeColor="text1"/>
          <w:highlight w:val="white"/>
        </w:rPr>
      </w:pPr>
      <w:r>
        <w:rPr>
          <w:b/>
          <w:color w:val="000000" w:themeColor="text1"/>
          <w:highlight w:val="white"/>
        </w:rPr>
        <w:t xml:space="preserve">ОБРАЗЕЦ</w:t>
      </w:r>
      <w:r>
        <w:rPr>
          <w:color w:val="000000" w:themeColor="text1"/>
          <w:highlight w:val="white"/>
        </w:rPr>
        <w:t xml:space="preserve">            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ind w:left="8646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highlight w:val="white"/>
        </w:rPr>
        <w:t xml:space="preserve"> </w:t>
      </w:r>
      <w:r>
        <w:rPr>
          <w:color w:val="000000" w:themeColor="text1"/>
          <w:sz w:val="20"/>
          <w:szCs w:val="20"/>
          <w:highlight w:val="white"/>
        </w:rPr>
        <w:t xml:space="preserve">Приложение №1.2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tbl>
      <w:tblPr>
        <w:tblW w:w="16199" w:type="dxa"/>
        <w:tblInd w:w="14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6"/>
        <w:gridCol w:w="823"/>
        <w:gridCol w:w="917"/>
        <w:gridCol w:w="256"/>
        <w:gridCol w:w="535"/>
        <w:gridCol w:w="218"/>
        <w:gridCol w:w="840"/>
        <w:gridCol w:w="417"/>
        <w:gridCol w:w="22"/>
        <w:gridCol w:w="434"/>
        <w:gridCol w:w="439"/>
        <w:gridCol w:w="217"/>
        <w:gridCol w:w="716"/>
        <w:gridCol w:w="745"/>
      </w:tblGrid>
      <w:tr>
        <w:tblPrEx/>
        <w:trPr>
          <w:trHeight w:val="78"/>
        </w:trPr>
        <w:tc>
          <w:tcPr>
            <w:gridSpan w:val="4"/>
            <w:shd w:val="clear" w:color="ffffff" w:fill="ffffff"/>
            <w:tcW w:w="2606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СОГЛАСОВАНО:</w:t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716" w:type="dxa"/>
            <w:vAlign w:val="bottom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296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96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0"/>
            <w:shd w:val="clear" w:color="ffffff" w:fill="ffffff"/>
            <w:tcW w:w="4583" w:type="dxa"/>
            <w:vAlign w:val="bottom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УТВЕРЖДАЮ:</w:t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ffffff" w:fill="ffffff"/>
            <w:tcW w:w="260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_______________ ФИО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7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29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96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0"/>
            <w:shd w:val="clear" w:color="ffffff" w:fill="ffffff"/>
            <w:tcW w:w="4583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________________ФИО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ffffff" w:fill="ffffff"/>
            <w:tcW w:w="6322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"___" _____________ 20__ г.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29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96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0"/>
            <w:shd w:val="clear" w:color="ffffff" w:fill="ffffff"/>
            <w:tcW w:w="4583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"___" _____________ 20__ г.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W w:w="94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shd w:val="clear" w:color="ffffff" w:fill="ffffff"/>
            <w:tcW w:w="51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4336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0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058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873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439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933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59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9"/>
            <w:shd w:val="clear" w:color="ffffff" w:fill="ffffff"/>
            <w:tcW w:w="609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Сводный сметный расчет в сумме</w:t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руб. без НДС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5"/>
            <w:shd w:val="clear" w:color="ffffff" w:fill="ffffff"/>
            <w:tcW w:w="11260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СВОДНЫЙ СМЕТНЫЙ РАСЧЕТ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shd w:val="clear" w:color="ffffff" w:fill="ffffff"/>
            <w:tcW w:w="180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8"/>
            <w:shd w:val="clear" w:color="ffffff" w:fill="ffffff"/>
            <w:tcBorders>
              <w:bottom w:val="single" w:color="000000" w:sz="4" w:space="0"/>
            </w:tcBorders>
            <w:tcW w:w="12350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71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7"/>
            <w:shd w:val="clear" w:color="ffffff" w:fill="ffffff"/>
            <w:tcW w:w="548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highlight w:val="white"/>
              </w:rPr>
              <w:t xml:space="preserve">               </w:t>
            </w:r>
            <w:r>
              <w:rPr>
                <w:i/>
                <w:iCs/>
                <w:color w:val="000000" w:themeColor="text1"/>
                <w:sz w:val="20"/>
                <w:szCs w:val="20"/>
                <w:highlight w:val="white"/>
              </w:rPr>
              <w:t xml:space="preserve">(наименование стройки)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15"/>
            <w:shd w:val="clear" w:color="ffffff" w:fill="ffffff"/>
            <w:tcW w:w="12367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6"/>
            <w:shd w:val="clear" w:color="ffffff" w:fill="ffffff"/>
            <w:tcW w:w="236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71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84"/>
        </w:trPr>
        <w:tc>
          <w:tcPr>
            <w:shd w:val="clear" w:color="ffffff" w:fill="ffffff"/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5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84"/>
        </w:trPr>
        <w:tc>
          <w:tcPr>
            <w:shd w:val="clear" w:color="ffffff" w:fill="ffffff"/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5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пп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Номера сметных расчетов и смет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Наименование глав, объектов, работ и затрат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75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Сметная стоимость,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ind w:left="-113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Общая сметная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ind w:left="-113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стоимость, руб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строитель-</w:t>
              <w:br/>
              <w:t xml:space="preserve">ных работ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монтажных работ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оборудования, мебели, инвентаря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прочих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right w:val="single" w:color="000000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right w:val="single" w:color="000000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3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4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5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7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8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2" w:type="dxa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Глава 2. Основные объекты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2" w:type="dxa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Сметы основного договора: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Исключить дополнительным соглашением №___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405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исключено Дополнительным соглашением №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435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Включить дополнительным соглашением №____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7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02-01-02/1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3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включено Дополнительным соглашением №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2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по Главе 2. "Основные объекты"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Всего по сводному сметному расчету, без учета НДС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сумма основного договора (без НДС)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77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ДС №___ от ___.__.20___г.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0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75"/>
        </w:trPr>
        <w:tc>
          <w:tcPr>
            <w:shd w:val="clear" w:color="ffffff" w:fill="ffffff"/>
            <w:tcW w:w="722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Составил: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7"/>
            <w:shd w:val="clear" w:color="ffffff" w:fill="ffffff"/>
            <w:tcBorders>
              <w:top w:val="single" w:color="000000" w:sz="4" w:space="0"/>
            </w:tcBorders>
            <w:tcW w:w="548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(должность, подпись, расшифровка)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75"/>
        </w:trPr>
        <w:tc>
          <w:tcPr>
            <w:shd w:val="clear" w:color="ffffff" w:fill="ffffff"/>
            <w:tcW w:w="722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5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Проверил: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</w:tcBorders>
            <w:tcW w:w="348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659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986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2266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1828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7"/>
            <w:shd w:val="clear" w:color="ffffff" w:fill="ffffff"/>
            <w:tcBorders>
              <w:top w:val="single" w:color="000000" w:sz="4" w:space="0"/>
            </w:tcBorders>
            <w:tcW w:w="548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(должность, подпись, расшифровка)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</w:tbl>
    <w:p>
      <w:pPr>
        <w:pStyle w:val="1015"/>
        <w:jc w:val="right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887"/>
        <w:rPr>
          <w:rFonts w:cs="Arial"/>
          <w:color w:val="000000" w:themeColor="text1"/>
          <w:sz w:val="20"/>
          <w:szCs w:val="20"/>
          <w:highlight w:val="white"/>
        </w:rPr>
        <w:sectPr>
          <w:footnotePr/>
          <w:endnotePr/>
          <w:type w:val="nextPage"/>
          <w:pgSz w:w="16838" w:h="11906" w:orient="landscape"/>
          <w:pgMar w:top="284" w:right="851" w:bottom="709" w:left="425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  <w:object w:dxaOrig="1281" w:dyaOrig="862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78.00pt;height:48.00pt;mso-wrap-distance-left:0.00pt;mso-wrap-distance-top:0.00pt;mso-wrap-distance-right:0.00pt;mso-wrap-distance-bottom:0.00pt;" filled="f" stroked="f">
            <v:path textboxrect="0,0,0,0"/>
            <v:imagedata r:id="rId16" o:title=""/>
          </v:shape>
          <o:OLEObject DrawAspect="Content" ObjectID="_1525043" ProgID="Excel.Sheet.12" ShapeID="_x0000_i3" Type="Embed"/>
        </w:object>
      </w:r>
      <w:r>
        <w:rPr>
          <w:rFonts w:cs="Arial"/>
          <w:color w:val="000000" w:themeColor="text1"/>
          <w:sz w:val="20"/>
          <w:szCs w:val="20"/>
          <w:highlight w:val="white"/>
        </w:rPr>
      </w:r>
      <w:r>
        <w:rPr>
          <w:rFonts w:cs="Arial"/>
          <w:color w:val="000000" w:themeColor="text1"/>
          <w:sz w:val="20"/>
          <w:szCs w:val="20"/>
          <w:highlight w:val="white"/>
        </w:rPr>
      </w:r>
    </w:p>
    <w:p>
      <w:pPr>
        <w:pStyle w:val="887"/>
        <w:ind w:left="357"/>
        <w:rPr>
          <w:b/>
          <w:color w:val="000000" w:themeColor="text1"/>
          <w:highlight w:val="white"/>
        </w:rPr>
      </w:pPr>
      <w:r>
        <w:rPr>
          <w:b/>
          <w:color w:val="000000" w:themeColor="text1"/>
          <w:highlight w:val="white"/>
        </w:rPr>
      </w:r>
      <w:bookmarkStart w:id="13" w:name="undefined_Копия_12"/>
      <w:r>
        <w:rPr>
          <w:color w:val="000000" w:themeColor="text1"/>
          <w:highlight w:val="white"/>
        </w:rPr>
      </w:r>
      <w:bookmarkStart w:id="14" w:name="undefined_Копия_11"/>
      <w:r>
        <w:rPr>
          <w:color w:val="000000" w:themeColor="text1"/>
          <w:highlight w:val="white"/>
        </w:rPr>
      </w:r>
      <w:bookmarkStart w:id="15" w:name="undefined_Копия_10"/>
      <w:r>
        <w:rPr>
          <w:color w:val="000000" w:themeColor="text1"/>
          <w:highlight w:val="white"/>
        </w:rPr>
      </w:r>
      <w:bookmarkStart w:id="16" w:name="undefined_Копия_9"/>
      <w:r>
        <w:rPr>
          <w:color w:val="000000" w:themeColor="text1"/>
          <w:highlight w:val="white"/>
        </w:rPr>
      </w:r>
      <w:bookmarkStart w:id="17" w:name="undefined_Копия_8"/>
      <w:r>
        <w:rPr>
          <w:color w:val="000000" w:themeColor="text1"/>
          <w:highlight w:val="white"/>
        </w:rPr>
      </w:r>
      <w:bookmarkStart w:id="18" w:name="undefined_Копия_6"/>
      <w:r>
        <w:rPr>
          <w:color w:val="000000" w:themeColor="text1"/>
          <w:highlight w:val="white"/>
        </w:rPr>
      </w:r>
      <w:bookmarkStart w:id="19" w:name="undefined_Копия_5"/>
      <w:r>
        <w:rPr>
          <w:color w:val="000000" w:themeColor="text1"/>
          <w:highlight w:val="white"/>
        </w:rPr>
      </w:r>
      <w:bookmarkStart w:id="20" w:name="undefined_Копия_4"/>
      <w:r>
        <w:rPr>
          <w:color w:val="000000" w:themeColor="text1"/>
          <w:highlight w:val="white"/>
        </w:rPr>
      </w:r>
      <w:bookmarkStart w:id="21" w:name="undefined_Копия_7"/>
      <w:r>
        <w:rPr>
          <w:color w:val="000000" w:themeColor="text1"/>
          <w:highlight w:val="white"/>
        </w:rPr>
      </w:r>
      <w:bookmarkEnd w:id="13"/>
      <w:r>
        <w:rPr>
          <w:color w:val="000000" w:themeColor="text1"/>
          <w:highlight w:val="white"/>
        </w:rPr>
      </w:r>
      <w:bookmarkEnd w:id="14"/>
      <w:r>
        <w:rPr>
          <w:color w:val="000000" w:themeColor="text1"/>
          <w:highlight w:val="white"/>
        </w:rPr>
      </w:r>
      <w:bookmarkEnd w:id="15"/>
      <w:r>
        <w:rPr>
          <w:color w:val="000000" w:themeColor="text1"/>
          <w:highlight w:val="white"/>
        </w:rPr>
      </w:r>
      <w:bookmarkEnd w:id="16"/>
      <w:r>
        <w:rPr>
          <w:color w:val="000000" w:themeColor="text1"/>
          <w:highlight w:val="white"/>
        </w:rPr>
      </w:r>
      <w:bookmarkEnd w:id="17"/>
      <w:r>
        <w:rPr>
          <w:color w:val="000000" w:themeColor="text1"/>
          <w:highlight w:val="white"/>
        </w:rPr>
      </w:r>
      <w:bookmarkEnd w:id="18"/>
      <w:r>
        <w:rPr>
          <w:color w:val="000000" w:themeColor="text1"/>
          <w:highlight w:val="white"/>
        </w:rPr>
      </w:r>
      <w:bookmarkEnd w:id="19"/>
      <w:r>
        <w:rPr>
          <w:color w:val="000000" w:themeColor="text1"/>
          <w:highlight w:val="white"/>
        </w:rPr>
      </w:r>
      <w:bookmarkEnd w:id="20"/>
      <w:r>
        <w:rPr>
          <w:color w:val="000000" w:themeColor="text1"/>
          <w:highlight w:val="white"/>
        </w:rPr>
      </w:r>
      <w:bookmarkEnd w:id="21"/>
      <w:r>
        <w:rPr>
          <w:b/>
          <w:color w:val="000000" w:themeColor="text1"/>
          <w:highlight w:val="white"/>
        </w:rPr>
      </w:r>
      <w:r>
        <w:rPr>
          <w:b/>
          <w:color w:val="000000" w:themeColor="text1"/>
          <w:highlight w:val="white"/>
        </w:rPr>
      </w:r>
    </w:p>
    <w:p>
      <w:pPr>
        <w:pStyle w:val="887"/>
        <w:ind w:left="426" w:hanging="426"/>
        <w:rPr>
          <w:color w:val="000000" w:themeColor="text1"/>
          <w:sz w:val="20"/>
          <w:szCs w:val="20"/>
          <w:highlight w:val="white"/>
        </w:rPr>
      </w:pPr>
      <w:r>
        <w:rPr>
          <w:b/>
          <w:color w:val="000000" w:themeColor="text1"/>
          <w:sz w:val="20"/>
          <w:szCs w:val="20"/>
          <w:highlight w:val="white"/>
        </w:rPr>
        <w:t xml:space="preserve">ОБРАЗЕЦ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highlight w:val="white"/>
        </w:rPr>
        <w:t xml:space="preserve"> </w:t>
      </w:r>
      <w:r>
        <w:rPr>
          <w:color w:val="000000" w:themeColor="text1"/>
          <w:sz w:val="20"/>
          <w:szCs w:val="20"/>
          <w:highlight w:val="white"/>
        </w:rPr>
        <w:t xml:space="preserve">Приложение №1.3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1015"/>
        <w:ind w:left="5811" w:firstLine="720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Приложение №___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к дополнительному соглашению от ___ № ___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center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                                   </w:t>
      </w:r>
      <w:r>
        <w:rPr>
          <w:rFonts w:ascii="Times New Roman" w:hAnsi="Times New Roman"/>
          <w:color w:val="000000" w:themeColor="text1"/>
          <w:highlight w:val="white"/>
        </w:rPr>
        <w:t xml:space="preserve">к договору от_______№_____ 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jc w:val="center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887"/>
        <w:jc w:val="center"/>
        <w:widowControl w:val="off"/>
        <w:rPr>
          <w:b/>
          <w:color w:val="000000" w:themeColor="text1"/>
          <w:sz w:val="20"/>
          <w:szCs w:val="20"/>
          <w:highlight w:val="white"/>
        </w:rPr>
      </w:pPr>
      <w:r>
        <w:rPr>
          <w:b/>
          <w:color w:val="000000" w:themeColor="text1"/>
          <w:sz w:val="20"/>
          <w:szCs w:val="20"/>
          <w:highlight w:val="white"/>
        </w:rPr>
        <w:t xml:space="preserve">Сопоставительная ведомость изменения сметной стоимости</w:t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p>
      <w:pPr>
        <w:pStyle w:val="887"/>
        <w:jc w:val="both"/>
        <w:widowControl w:val="off"/>
        <w:rPr>
          <w:b/>
          <w:color w:val="000000" w:themeColor="text1"/>
          <w:sz w:val="20"/>
          <w:szCs w:val="20"/>
          <w:highlight w:val="white"/>
        </w:rPr>
      </w:pP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tbl>
      <w:tblPr>
        <w:tblW w:w="10206" w:type="dxa"/>
        <w:tblInd w:w="488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4"/>
        <w:gridCol w:w="850"/>
        <w:gridCol w:w="851"/>
        <w:gridCol w:w="1276"/>
        <w:gridCol w:w="1276"/>
        <w:gridCol w:w="1701"/>
        <w:gridCol w:w="1702"/>
        <w:gridCol w:w="2124"/>
      </w:tblGrid>
      <w:tr>
        <w:tblPrEx/>
        <w:trPr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п/п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Данные сметного расчета (сметы)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Сметная стоимость, тыс.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Разница в сметной стоимости,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Обоснование изменений сметной стоимости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vMerge w:val="continue"/>
            <w:textDirection w:val="lrTb"/>
            <w:noWrap w:val="false"/>
          </w:tcPr>
          <w:p>
            <w:pPr>
              <w:pStyle w:val="887"/>
              <w:spacing w:before="0"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шифр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наименование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позиции сметного расчета (сметы) в ССР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подлежащая включению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подлежащая исключению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pStyle w:val="887"/>
              <w:spacing w:before="0"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Merge w:val="continue"/>
            <w:textDirection w:val="lrTb"/>
            <w:noWrap w:val="false"/>
          </w:tcPr>
          <w:p>
            <w:pPr>
              <w:pStyle w:val="887"/>
              <w:spacing w:before="0"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3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4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5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7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8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</w:tbl>
    <w:p>
      <w:pPr>
        <w:pStyle w:val="887"/>
        <w:jc w:val="both"/>
        <w:widowControl w:val="off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357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highlight w:val="white"/>
        </w:rPr>
        <w:br w:type="page" w:clear="all"/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357"/>
        <w:jc w:val="right"/>
        <w:spacing w:before="0" w:after="0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Приложение №1.4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Приложение №___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к дополнительному соглашению от ___ № ___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center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к договору от_______№_____ 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5"/>
        <w:jc w:val="center"/>
        <w:rPr>
          <w:rFonts w:ascii="Times New Roman" w:hAnsi="Times New Roman" w:cs="Times New Roman"/>
          <w:b/>
          <w:color w:val="000000" w:themeColor="text1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highlight w:val="white"/>
        </w:rPr>
        <w:t xml:space="preserve">Сопоставительная ведомость объемов работ</w:t>
      </w:r>
      <w:r>
        <w:rPr>
          <w:rFonts w:ascii="Times New Roman" w:hAnsi="Times New Roman" w:cs="Times New Roman"/>
          <w:b/>
          <w:color w:val="000000" w:themeColor="text1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highlight w:val="white"/>
        </w:rPr>
      </w:r>
    </w:p>
    <w:p>
      <w:pPr>
        <w:pStyle w:val="1015"/>
        <w:jc w:val="both"/>
        <w:rPr>
          <w:b/>
          <w:color w:val="000000" w:themeColor="text1"/>
          <w:highlight w:val="white"/>
        </w:rPr>
      </w:pPr>
      <w:r>
        <w:rPr>
          <w:b/>
          <w:color w:val="000000" w:themeColor="text1"/>
          <w:highlight w:val="white"/>
        </w:rPr>
      </w:r>
      <w:r>
        <w:rPr>
          <w:b/>
          <w:color w:val="000000" w:themeColor="text1"/>
          <w:highlight w:val="white"/>
        </w:rPr>
      </w:r>
      <w:r>
        <w:rPr>
          <w:b/>
          <w:color w:val="000000" w:themeColor="text1"/>
          <w:highlight w:val="white"/>
        </w:rPr>
      </w:r>
    </w:p>
    <w:tbl>
      <w:tblPr>
        <w:tblW w:w="10773" w:type="dxa"/>
        <w:tblInd w:w="204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>
        <w:tblPrEx/>
        <w:trPr>
          <w:trHeight w:val="8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1015"/>
              <w:ind w:left="-62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№№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пп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1015"/>
              <w:ind w:hanging="6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Ед. изм.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Merge w:val="restart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Объем работ в сметной документации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vMerge w:val="restart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Изменение объемов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Обоснование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1015"/>
              <w:ind w:left="1360" w:hanging="1416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Примечание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1015"/>
              <w:ind w:left="-797" w:firstLine="72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шифр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1015"/>
              <w:ind w:left="-64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позиции в сметном расчете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13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1015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до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textDirection w:val="lrTb"/>
            <w:noWrap w:val="false"/>
          </w:tcPr>
          <w:p>
            <w:pPr>
              <w:pStyle w:val="1015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ind w:firstLine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до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1015"/>
              <w:ind w:left="-800" w:firstLine="72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увели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1015"/>
              <w:ind w:left="-800" w:firstLine="72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чение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снижение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</w:tr>
    </w:tbl>
    <w:p>
      <w:pPr>
        <w:rPr>
          <w:color w:val="000000" w:themeColor="text1"/>
          <w:highlight w:val="white"/>
        </w:rPr>
        <w:sectPr>
          <w:footnotePr/>
          <w:endnotePr/>
          <w:type w:val="nextPage"/>
          <w:pgSz w:w="11906" w:h="16838" w:orient="portrait"/>
          <w:pgMar w:top="284" w:right="924" w:bottom="720" w:left="426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5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Приложение№1.5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firstLine="10348"/>
        <w:jc w:val="right"/>
        <w:rPr>
          <w:b/>
          <w:color w:val="000000" w:themeColor="text1"/>
          <w:sz w:val="20"/>
          <w:szCs w:val="20"/>
          <w:highlight w:val="white"/>
        </w:rPr>
      </w:pPr>
      <w:r>
        <w:rPr>
          <w:rFonts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b/>
          <w:color w:val="000000" w:themeColor="text1"/>
          <w:sz w:val="20"/>
          <w:szCs w:val="20"/>
          <w:highlight w:val="white"/>
        </w:rPr>
        <w:t xml:space="preserve"> </w:t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p>
      <w:pPr>
        <w:pStyle w:val="887"/>
        <w:rPr>
          <w:b/>
          <w:color w:val="000000" w:themeColor="text1"/>
          <w:sz w:val="20"/>
          <w:szCs w:val="20"/>
          <w:highlight w:val="white"/>
        </w:rPr>
      </w:pPr>
      <w:r>
        <w:rPr>
          <w:b/>
          <w:color w:val="000000" w:themeColor="text1"/>
          <w:sz w:val="20"/>
          <w:szCs w:val="20"/>
          <w:highlight w:val="white"/>
        </w:rPr>
        <w:t xml:space="preserve">ОБРАЗЕЦ</w:t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p>
      <w:pPr>
        <w:pStyle w:val="887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rPr>
          <w:b/>
          <w:color w:val="000000" w:themeColor="text1"/>
          <w:sz w:val="20"/>
          <w:szCs w:val="20"/>
          <w:highlight w:val="white"/>
        </w:rPr>
        <w:sectPr>
          <w:footnotePr/>
          <w:endnotePr/>
          <w:type w:val="nextPage"/>
          <w:pgSz w:w="16838" w:h="11906" w:orient="landscape"/>
          <w:pgMar w:top="426" w:right="253" w:bottom="924" w:left="720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440295" cy="5648325"/>
                <wp:effectExtent l="0" t="0" r="0" b="0"/>
                <wp:docPr id="5" name="Изображение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Изображение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7440295" cy="5648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585.85pt;height:444.75pt;mso-wrap-distance-left:0.00pt;mso-wrap-distance-top:0.00pt;mso-wrap-distance-right:0.00pt;mso-wrap-distance-bottom:0.00pt;" stroked="false">
                <v:path textboxrect="0,0,0,0"/>
                <v:imagedata r:id="rId18" o:title=""/>
              </v:shape>
            </w:pict>
          </mc:Fallback>
        </mc:AlternateContent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Приложение№2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firstLine="0"/>
        <w:jc w:val="right"/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887"/>
        <w:ind w:firstLine="0"/>
        <w:jc w:val="right"/>
        <w:rPr>
          <w:b/>
          <w:bCs/>
          <w:color w:val="000000" w:themeColor="text1"/>
          <w:sz w:val="20"/>
          <w:szCs w:val="20"/>
          <w:highlight w:val="white"/>
        </w:rPr>
      </w:pPr>
      <w:r>
        <w:rPr>
          <w:rFonts w:cs="Times New Roman"/>
          <w:color w:val="000000" w:themeColor="text1"/>
          <w:sz w:val="22"/>
          <w:szCs w:val="22"/>
          <w:highlight w:val="white"/>
        </w:rPr>
        <w:t xml:space="preserve">документации по ценообразованию</w:t>
      </w:r>
      <w:r>
        <w:rPr>
          <w:b/>
          <w:color w:val="000000" w:themeColor="text1"/>
          <w:sz w:val="20"/>
          <w:szCs w:val="20"/>
          <w:highlight w:val="white"/>
        </w:rPr>
        <w:t xml:space="preserve"> </w:t>
      </w:r>
      <w:r>
        <w:rPr>
          <w:b/>
          <w:bCs/>
          <w:color w:val="000000" w:themeColor="text1"/>
          <w:sz w:val="20"/>
          <w:szCs w:val="20"/>
          <w:highlight w:val="white"/>
        </w:rPr>
      </w:r>
      <w:r>
        <w:rPr>
          <w:b/>
          <w:bCs/>
          <w:color w:val="000000" w:themeColor="text1"/>
          <w:sz w:val="20"/>
          <w:szCs w:val="20"/>
          <w:highlight w:val="white"/>
        </w:rPr>
      </w:r>
    </w:p>
    <w:p>
      <w:pPr>
        <w:pStyle w:val="887"/>
        <w:jc w:val="right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right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center"/>
        <w:rPr>
          <w:color w:val="000000" w:themeColor="text1"/>
          <w:highlight w:val="none"/>
        </w:rPr>
      </w:pPr>
      <w:r>
        <w:rPr>
          <w:color w:val="000000" w:themeColor="text1"/>
          <w:highlight w:val="white"/>
        </w:rPr>
        <w:object w:dxaOrig="42808" w:dyaOrig="16113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" o:spid="_x0000_s5" type="#_x0000_t75" style="width:62.03pt;height:49.12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ObjectID="_1525045" ProgID="Excel.Sheet.12" ShapeID="_x0000_i5" Type="Embed"/>
        </w:objec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737" w:right="851" w:bottom="992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Open Sans">
    <w:panose1 w:val="020B060603050402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12</w:t>
    </w:r>
    <w:r>
      <w:fldChar w:fldCharType="end"/>
    </w:r>
    <w:r/>
  </w:p>
  <w:p>
    <w:pPr>
      <w:pStyle w:val="88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/>
  </w:p>
  <w:p>
    <w:pPr>
      <w:pStyle w:val="978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978"/>
                            <w:rPr>
                              <w:rStyle w:val="918"/>
                            </w:rPr>
                          </w:pPr>
                          <w:r>
                            <w:rPr>
                              <w:rStyle w:val="918"/>
                            </w:rPr>
                            <w:fldChar w:fldCharType="begin"/>
                          </w:r>
                          <w:r>
                            <w:rPr>
                              <w:rStyle w:val="918"/>
                            </w:rPr>
                            <w:instrText xml:space="preserve"> PAGE </w:instrText>
                          </w:r>
                          <w:r>
                            <w:rPr>
                              <w:rStyle w:val="918"/>
                            </w:rPr>
                            <w:fldChar w:fldCharType="separate"/>
                          </w:r>
                          <w:r>
                            <w:rPr>
                              <w:rStyle w:val="918"/>
                            </w:rPr>
                            <w:t xml:space="preserve">0</w:t>
                          </w:r>
                          <w:r>
                            <w:rPr>
                              <w:rStyle w:val="918"/>
                            </w:rPr>
                            <w:fldChar w:fldCharType="end"/>
                          </w:r>
                          <w:r>
                            <w:rPr>
                              <w:rStyle w:val="918"/>
                            </w:rPr>
                          </w:r>
                          <w:r>
                            <w:rPr>
                              <w:rStyle w:val="918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4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78"/>
                      <w:rPr>
                        <w:rStyle w:val="918"/>
                      </w:rPr>
                    </w:pPr>
                    <w:r>
                      <w:rPr>
                        <w:rStyle w:val="918"/>
                      </w:rPr>
                      <w:fldChar w:fldCharType="begin"/>
                    </w:r>
                    <w:r>
                      <w:rPr>
                        <w:rStyle w:val="918"/>
                      </w:rPr>
                      <w:instrText xml:space="preserve"> PAGE </w:instrText>
                    </w:r>
                    <w:r>
                      <w:rPr>
                        <w:rStyle w:val="918"/>
                      </w:rPr>
                      <w:fldChar w:fldCharType="separate"/>
                    </w:r>
                    <w:r>
                      <w:rPr>
                        <w:rStyle w:val="918"/>
                      </w:rPr>
                      <w:t xml:space="preserve">0</w:t>
                    </w:r>
                    <w:r>
                      <w:rPr>
                        <w:rStyle w:val="918"/>
                      </w:rPr>
                      <w:fldChar w:fldCharType="end"/>
                    </w:r>
                    <w:r>
                      <w:rPr>
                        <w:rStyle w:val="918"/>
                      </w:rPr>
                    </w:r>
                    <w:r>
                      <w:rPr>
                        <w:rStyle w:val="918"/>
                      </w:rPr>
                    </w:r>
                  </w:p>
                </w:txbxContent>
              </v:textbox>
            </v:shape>
          </w:pict>
        </mc:Fallback>
      </mc:AlternateContent>
    </w:r>
    <w:r/>
  </w:p>
  <w:p>
    <w:pPr>
      <w:pStyle w:val="88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7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71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1012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1013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1011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890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1022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1023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1026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1024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102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1029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ascii="Times New Roman" w:hAnsi="Times New Roman" w:eastAsia="Times New Roman" w:cs="Times New Roman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ascii="Times New Roman" w:hAnsi="Times New Roman" w:eastAsia="Times New Roman" w:cs="Times New Roman"/>
        <w:b w:val="0"/>
        <w:sz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  <w:tabs>
          <w:tab w:val="num" w:pos="0" w:leader="none"/>
        </w:tabs>
      </w:pPr>
      <w:rPr>
        <w:rFonts w:hint="default" w:ascii="Symbol" w:hAnsi="Symbol" w:cs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6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6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6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6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87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8"/>
      <w:szCs w:val="28"/>
      <w:lang w:val="ru-RU" w:eastAsia="ru-RU" w:bidi="ar-SA"/>
    </w:rPr>
  </w:style>
  <w:style w:type="paragraph" w:styleId="888">
    <w:name w:val="Heading 1"/>
    <w:basedOn w:val="890"/>
    <w:qFormat/>
    <w:pPr>
      <w:outlineLvl w:val="0"/>
    </w:pPr>
    <w:rPr>
      <w:sz w:val="28"/>
      <w:szCs w:val="28"/>
    </w:rPr>
  </w:style>
  <w:style w:type="paragraph" w:styleId="889">
    <w:name w:val="Heading 2"/>
    <w:basedOn w:val="891"/>
    <w:qFormat/>
    <w:pPr>
      <w:outlineLvl w:val="1"/>
    </w:pPr>
  </w:style>
  <w:style w:type="paragraph" w:styleId="890">
    <w:name w:val="Heading 3"/>
    <w:basedOn w:val="887"/>
    <w:qFormat/>
    <w:pPr>
      <w:numPr>
        <w:ilvl w:val="2"/>
        <w:numId w:val="3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891">
    <w:name w:val="Heading 4"/>
    <w:basedOn w:val="890"/>
    <w:qFormat/>
    <w:pPr>
      <w:outlineLvl w:val="3"/>
    </w:pPr>
    <w:rPr>
      <w:bCs/>
    </w:rPr>
  </w:style>
  <w:style w:type="paragraph" w:styleId="892">
    <w:name w:val="Heading 5"/>
    <w:basedOn w:val="88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93">
    <w:name w:val="Heading 6"/>
    <w:basedOn w:val="887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94">
    <w:name w:val="Heading 7"/>
    <w:basedOn w:val="887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95">
    <w:name w:val="Heading 8"/>
    <w:basedOn w:val="887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896">
    <w:name w:val="Heading 9"/>
    <w:basedOn w:val="88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97">
    <w:name w:val="Heading 1 Char"/>
    <w:basedOn w:val="915"/>
    <w:uiPriority w:val="9"/>
    <w:qFormat/>
    <w:rPr>
      <w:rFonts w:ascii="Arial" w:hAnsi="Arial" w:eastAsia="Arial" w:cs="Arial"/>
      <w:sz w:val="40"/>
      <w:szCs w:val="40"/>
    </w:rPr>
  </w:style>
  <w:style w:type="character" w:styleId="898">
    <w:name w:val="Heading 2 Char"/>
    <w:basedOn w:val="915"/>
    <w:uiPriority w:val="9"/>
    <w:qFormat/>
    <w:rPr>
      <w:rFonts w:ascii="Arial" w:hAnsi="Arial" w:eastAsia="Arial" w:cs="Arial"/>
      <w:sz w:val="34"/>
    </w:rPr>
  </w:style>
  <w:style w:type="character" w:styleId="899">
    <w:name w:val="Heading 3 Char"/>
    <w:basedOn w:val="915"/>
    <w:uiPriority w:val="9"/>
    <w:qFormat/>
    <w:rPr>
      <w:rFonts w:ascii="Arial" w:hAnsi="Arial" w:eastAsia="Arial" w:cs="Arial"/>
      <w:sz w:val="30"/>
      <w:szCs w:val="30"/>
    </w:rPr>
  </w:style>
  <w:style w:type="character" w:styleId="900">
    <w:name w:val="Heading 4 Char"/>
    <w:basedOn w:val="91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01">
    <w:name w:val="Heading 5 Char"/>
    <w:basedOn w:val="91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02">
    <w:name w:val="Heading 6 Char"/>
    <w:basedOn w:val="91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03">
    <w:name w:val="Heading 7 Char"/>
    <w:basedOn w:val="91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904">
    <w:name w:val="Heading 8 Char"/>
    <w:basedOn w:val="91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05">
    <w:name w:val="Heading 9 Char"/>
    <w:basedOn w:val="91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06">
    <w:name w:val="Title Char"/>
    <w:basedOn w:val="915"/>
    <w:uiPriority w:val="10"/>
    <w:qFormat/>
    <w:rPr>
      <w:sz w:val="48"/>
      <w:szCs w:val="48"/>
    </w:rPr>
  </w:style>
  <w:style w:type="character" w:styleId="907">
    <w:name w:val="Subtitle Char"/>
    <w:basedOn w:val="915"/>
    <w:uiPriority w:val="11"/>
    <w:qFormat/>
    <w:rPr>
      <w:sz w:val="24"/>
      <w:szCs w:val="24"/>
    </w:rPr>
  </w:style>
  <w:style w:type="character" w:styleId="908">
    <w:name w:val="Quote Char"/>
    <w:uiPriority w:val="29"/>
    <w:qFormat/>
    <w:rPr>
      <w:i/>
    </w:rPr>
  </w:style>
  <w:style w:type="character" w:styleId="909">
    <w:name w:val="Intense Quote Char"/>
    <w:uiPriority w:val="30"/>
    <w:qFormat/>
    <w:rPr>
      <w:i/>
    </w:rPr>
  </w:style>
  <w:style w:type="character" w:styleId="910">
    <w:name w:val="Header Char"/>
    <w:basedOn w:val="915"/>
    <w:uiPriority w:val="99"/>
    <w:qFormat/>
  </w:style>
  <w:style w:type="character" w:styleId="911">
    <w:name w:val="Footer Char"/>
    <w:basedOn w:val="915"/>
    <w:uiPriority w:val="99"/>
    <w:qFormat/>
  </w:style>
  <w:style w:type="character" w:styleId="912">
    <w:name w:val="Caption Char"/>
    <w:uiPriority w:val="99"/>
    <w:qFormat/>
  </w:style>
  <w:style w:type="character" w:styleId="913">
    <w:name w:val="Footnote Text Char"/>
    <w:uiPriority w:val="99"/>
    <w:qFormat/>
    <w:rPr>
      <w:sz w:val="18"/>
    </w:rPr>
  </w:style>
  <w:style w:type="character" w:styleId="914">
    <w:name w:val="Endnote Text Char"/>
    <w:uiPriority w:val="99"/>
    <w:qFormat/>
    <w:rPr>
      <w:sz w:val="20"/>
    </w:rPr>
  </w:style>
  <w:style w:type="character" w:styleId="915" w:default="1">
    <w:name w:val="Default Paragraph Font"/>
    <w:uiPriority w:val="1"/>
    <w:semiHidden/>
    <w:unhideWhenUsed/>
    <w:qFormat/>
  </w:style>
  <w:style w:type="character" w:styleId="916">
    <w:name w:val="Символ сноски"/>
    <w:uiPriority w:val="99"/>
    <w:qFormat/>
    <w:rPr>
      <w:vertAlign w:val="superscript"/>
    </w:rPr>
  </w:style>
  <w:style w:type="character" w:styleId="917">
    <w:name w:val="footnote reference"/>
    <w:rPr>
      <w:vertAlign w:val="superscript"/>
    </w:rPr>
  </w:style>
  <w:style w:type="character" w:styleId="918">
    <w:name w:val="page number"/>
    <w:basedOn w:val="915"/>
    <w:qFormat/>
  </w:style>
  <w:style w:type="character" w:styleId="919">
    <w:name w:val="Hyperlink"/>
    <w:uiPriority w:val="99"/>
    <w:rPr>
      <w:color w:val="0000ff"/>
      <w:u w:val="single"/>
    </w:rPr>
  </w:style>
  <w:style w:type="character" w:styleId="920">
    <w:name w:val="annotation reference"/>
    <w:qFormat/>
    <w:rPr>
      <w:sz w:val="16"/>
      <w:szCs w:val="16"/>
    </w:rPr>
  </w:style>
  <w:style w:type="character" w:styleId="921">
    <w:name w:val="Strong"/>
    <w:qFormat/>
    <w:rPr>
      <w:b/>
      <w:bCs/>
    </w:rPr>
  </w:style>
  <w:style w:type="character" w:styleId="922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923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924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925" w:customStyle="1">
    <w:name w:val="Заголовок 1 Знак"/>
    <w:qFormat/>
    <w:rPr>
      <w:rFonts w:eastAsia="Calibri"/>
      <w:b/>
      <w:sz w:val="28"/>
      <w:szCs w:val="28"/>
    </w:rPr>
  </w:style>
  <w:style w:type="character" w:styleId="926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927" w:customStyle="1">
    <w:name w:val="Заголовок 3 Знак"/>
    <w:qFormat/>
    <w:rPr>
      <w:rFonts w:eastAsia="Calibri"/>
      <w:b/>
      <w:sz w:val="24"/>
      <w:szCs w:val="24"/>
    </w:rPr>
  </w:style>
  <w:style w:type="character" w:styleId="928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929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30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931" w:customStyle="1">
    <w:name w:val="Название Знак"/>
    <w:uiPriority w:val="10"/>
    <w:qFormat/>
    <w:rPr>
      <w:sz w:val="28"/>
    </w:rPr>
  </w:style>
  <w:style w:type="character" w:styleId="93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933">
    <w:name w:val="Emphasis"/>
    <w:uiPriority w:val="20"/>
    <w:qFormat/>
    <w:rPr>
      <w:i/>
      <w:iCs/>
    </w:rPr>
  </w:style>
  <w:style w:type="character" w:styleId="934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935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936">
    <w:name w:val="Subtle Emphasis"/>
    <w:uiPriority w:val="19"/>
    <w:qFormat/>
    <w:rPr>
      <w:i/>
      <w:iCs/>
      <w:color w:val="808080"/>
    </w:rPr>
  </w:style>
  <w:style w:type="character" w:styleId="937">
    <w:name w:val="Intense Emphasis"/>
    <w:uiPriority w:val="21"/>
    <w:qFormat/>
    <w:rPr>
      <w:b/>
      <w:bCs/>
      <w:i/>
      <w:iCs/>
      <w:color w:val="4f81bd"/>
    </w:rPr>
  </w:style>
  <w:style w:type="character" w:styleId="938">
    <w:name w:val="Subtle Reference"/>
    <w:uiPriority w:val="31"/>
    <w:qFormat/>
    <w:rPr>
      <w:smallCaps/>
      <w:color w:val="c0504d"/>
      <w:u w:val="single"/>
    </w:rPr>
  </w:style>
  <w:style w:type="character" w:styleId="939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40">
    <w:name w:val="Book Title"/>
    <w:uiPriority w:val="33"/>
    <w:qFormat/>
    <w:rPr>
      <w:b/>
      <w:bCs/>
      <w:smallCaps/>
      <w:spacing w:val="5"/>
    </w:rPr>
  </w:style>
  <w:style w:type="character" w:styleId="941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942" w:customStyle="1">
    <w:name w:val="Подпункт Знак1"/>
    <w:qFormat/>
    <w:rPr>
      <w:sz w:val="28"/>
    </w:rPr>
  </w:style>
  <w:style w:type="character" w:styleId="943" w:customStyle="1">
    <w:name w:val="Текст сноски Знак"/>
    <w:uiPriority w:val="99"/>
    <w:qFormat/>
  </w:style>
  <w:style w:type="character" w:styleId="944" w:customStyle="1">
    <w:name w:val="Основной текст Знак"/>
    <w:qFormat/>
    <w:rPr>
      <w:sz w:val="28"/>
      <w:szCs w:val="28"/>
    </w:rPr>
  </w:style>
  <w:style w:type="character" w:styleId="945" w:customStyle="1">
    <w:name w:val="blk"/>
    <w:qFormat/>
  </w:style>
  <w:style w:type="character" w:styleId="946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947" w:customStyle="1">
    <w:name w:val="комментарий"/>
    <w:qFormat/>
    <w:rPr>
      <w:b/>
      <w:i/>
      <w:shd w:val="clear" w:color="auto" w:fill="ffff99"/>
    </w:rPr>
  </w:style>
  <w:style w:type="character" w:styleId="948" w:customStyle="1">
    <w:name w:val="Подподпункт Знак"/>
    <w:qFormat/>
    <w:rPr>
      <w:sz w:val="26"/>
      <w:szCs w:val="26"/>
    </w:rPr>
  </w:style>
  <w:style w:type="character" w:styleId="949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950" w:customStyle="1">
    <w:name w:val="Верхний колонтитул Знак"/>
    <w:uiPriority w:val="99"/>
    <w:qFormat/>
    <w:rPr>
      <w:sz w:val="24"/>
      <w:szCs w:val="24"/>
    </w:rPr>
  </w:style>
  <w:style w:type="character" w:styleId="951" w:customStyle="1">
    <w:name w:val="Текст примечания Знак"/>
    <w:qFormat/>
  </w:style>
  <w:style w:type="character" w:styleId="952" w:customStyle="1">
    <w:name w:val="Текст концевой сноски Знак"/>
    <w:basedOn w:val="915"/>
    <w:qFormat/>
  </w:style>
  <w:style w:type="character" w:styleId="953">
    <w:name w:val="Символ концевой сноски"/>
    <w:qFormat/>
    <w:rPr>
      <w:vertAlign w:val="superscript"/>
    </w:rPr>
  </w:style>
  <w:style w:type="character" w:styleId="954">
    <w:name w:val="endnote reference"/>
    <w:rPr>
      <w:vertAlign w:val="superscript"/>
    </w:rPr>
  </w:style>
  <w:style w:type="character" w:styleId="955" w:customStyle="1">
    <w:name w:val="Пункт2 Знак"/>
    <w:qFormat/>
    <w:rPr>
      <w:b/>
      <w:sz w:val="28"/>
    </w:rPr>
  </w:style>
  <w:style w:type="character" w:styleId="956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957" w:customStyle="1">
    <w:name w:val="Неразрешенное упоминание1"/>
    <w:basedOn w:val="915"/>
    <w:uiPriority w:val="99"/>
    <w:semiHidden/>
    <w:unhideWhenUsed/>
    <w:qFormat/>
    <w:rPr>
      <w:color w:val="605e5c"/>
      <w:shd w:val="clear" w:color="auto" w:fill="e1dfdd"/>
    </w:rPr>
  </w:style>
  <w:style w:type="character" w:styleId="958" w:customStyle="1">
    <w:name w:val="Основной текст с отступом 3 Знак"/>
    <w:qFormat/>
    <w:rPr>
      <w:sz w:val="16"/>
      <w:szCs w:val="16"/>
    </w:rPr>
  </w:style>
  <w:style w:type="character" w:styleId="959" w:customStyle="1">
    <w:name w:val="Основной текст (2)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eastAsia="ru-RU" w:bidi="ru-RU"/>
    </w:rPr>
  </w:style>
  <w:style w:type="character" w:styleId="960">
    <w:name w:val="FollowedHyperlink"/>
    <w:basedOn w:val="915"/>
    <w:semiHidden/>
    <w:unhideWhenUsed/>
    <w:rPr>
      <w:color w:val="954f72" w:themeColor="followedHyperlink"/>
      <w:u w:val="single"/>
    </w:rPr>
  </w:style>
  <w:style w:type="character" w:styleId="961" w:customStyle="1">
    <w:name w:val="ConsPlusNormal Знак"/>
    <w:qFormat/>
    <w:rPr>
      <w:rFonts w:ascii="Arial" w:hAnsi="Arial" w:cs="Arial"/>
    </w:rPr>
  </w:style>
  <w:style w:type="paragraph" w:styleId="962">
    <w:name w:val="Заголовок"/>
    <w:basedOn w:val="887"/>
    <w:next w:val="963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963">
    <w:name w:val="Body Text"/>
    <w:basedOn w:val="887"/>
    <w:pPr>
      <w:spacing w:before="0" w:after="120"/>
    </w:pPr>
  </w:style>
  <w:style w:type="paragraph" w:styleId="964">
    <w:name w:val="List"/>
    <w:basedOn w:val="963"/>
    <w:rPr>
      <w:rFonts w:cs="Lohit Devanagari"/>
    </w:rPr>
  </w:style>
  <w:style w:type="paragraph" w:styleId="965">
    <w:name w:val="Caption"/>
    <w:basedOn w:val="887"/>
    <w:link w:val="912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66">
    <w:name w:val="Указатель"/>
    <w:basedOn w:val="887"/>
    <w:qFormat/>
    <w:pPr>
      <w:suppressLineNumbers/>
    </w:pPr>
    <w:rPr>
      <w:rFonts w:cs="Lohit Devanagari"/>
    </w:rPr>
  </w:style>
  <w:style w:type="paragraph" w:styleId="967">
    <w:name w:val="Title"/>
    <w:basedOn w:val="88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68">
    <w:name w:val="table of figures"/>
    <w:basedOn w:val="887"/>
    <w:uiPriority w:val="99"/>
    <w:unhideWhenUsed/>
    <w:pPr>
      <w:spacing w:before="0" w:after="0" w:afterAutospacing="0"/>
    </w:pPr>
  </w:style>
  <w:style w:type="paragraph" w:styleId="969" w:customStyle="1">
    <w:name w:val="Название раздела инструкции"/>
    <w:basedOn w:val="887"/>
    <w:qFormat/>
    <w:pPr>
      <w:jc w:val="center"/>
    </w:pPr>
    <w:rPr>
      <w:b/>
    </w:rPr>
  </w:style>
  <w:style w:type="paragraph" w:styleId="970" w:customStyle="1">
    <w:name w:val="Раздел положения"/>
    <w:basedOn w:val="887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71" w:customStyle="1">
    <w:name w:val="Подраздел раздела положения"/>
    <w:basedOn w:val="887"/>
    <w:qFormat/>
    <w:pPr>
      <w:numPr>
        <w:ilvl w:val="1"/>
        <w:numId w:val="1"/>
      </w:numPr>
      <w:jc w:val="both"/>
      <w:spacing w:before="80" w:after="80"/>
    </w:pPr>
  </w:style>
  <w:style w:type="paragraph" w:styleId="972">
    <w:name w:val="footnote text"/>
    <w:basedOn w:val="887"/>
    <w:uiPriority w:val="99"/>
    <w:rPr>
      <w:sz w:val="20"/>
      <w:szCs w:val="20"/>
    </w:rPr>
  </w:style>
  <w:style w:type="paragraph" w:styleId="973" w:customStyle="1">
    <w:name w:val="Шапка 1"/>
    <w:basedOn w:val="887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974" w:customStyle="1">
    <w:name w:val="Шапка 2"/>
    <w:basedOn w:val="887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75" w:customStyle="1">
    <w:name w:val="Шапка 3"/>
    <w:basedOn w:val="887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76" w:customStyle="1">
    <w:name w:val="Название1"/>
    <w:basedOn w:val="887"/>
    <w:uiPriority w:val="10"/>
    <w:qFormat/>
    <w:pPr>
      <w:jc w:val="center"/>
    </w:pPr>
    <w:rPr>
      <w:szCs w:val="20"/>
    </w:rPr>
  </w:style>
  <w:style w:type="paragraph" w:styleId="977">
    <w:name w:val="Колонтитул"/>
    <w:basedOn w:val="887"/>
    <w:qFormat/>
  </w:style>
  <w:style w:type="paragraph" w:styleId="978">
    <w:name w:val="Header"/>
    <w:basedOn w:val="887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79">
    <w:name w:val="Body Text Indent"/>
    <w:basedOn w:val="887"/>
    <w:pPr>
      <w:ind w:left="360"/>
    </w:pPr>
    <w:rPr>
      <w:sz w:val="24"/>
      <w:szCs w:val="24"/>
    </w:rPr>
  </w:style>
  <w:style w:type="paragraph" w:styleId="980">
    <w:name w:val="Footer"/>
    <w:basedOn w:val="887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81">
    <w:name w:val="Body Text Indent 2"/>
    <w:basedOn w:val="887"/>
    <w:qFormat/>
    <w:pPr>
      <w:ind w:left="283"/>
      <w:spacing w:before="0" w:after="120" w:line="480" w:lineRule="auto"/>
    </w:pPr>
  </w:style>
  <w:style w:type="paragraph" w:styleId="982">
    <w:name w:val="Body Text 3"/>
    <w:basedOn w:val="887"/>
    <w:qFormat/>
    <w:pPr>
      <w:spacing w:before="0" w:after="120"/>
    </w:pPr>
    <w:rPr>
      <w:sz w:val="16"/>
      <w:szCs w:val="16"/>
    </w:rPr>
  </w:style>
  <w:style w:type="paragraph" w:styleId="983">
    <w:name w:val="Body Text Indent 3"/>
    <w:basedOn w:val="887"/>
    <w:qFormat/>
    <w:pPr>
      <w:ind w:left="283"/>
      <w:spacing w:before="0" w:after="120"/>
    </w:pPr>
    <w:rPr>
      <w:sz w:val="16"/>
      <w:szCs w:val="16"/>
    </w:rPr>
  </w:style>
  <w:style w:type="paragraph" w:styleId="984">
    <w:name w:val="Body Text 2"/>
    <w:basedOn w:val="887"/>
    <w:qFormat/>
    <w:pPr>
      <w:spacing w:before="0" w:after="120" w:line="480" w:lineRule="auto"/>
    </w:pPr>
  </w:style>
  <w:style w:type="paragraph" w:styleId="985">
    <w:name w:val="Block Text"/>
    <w:basedOn w:val="887"/>
    <w:qFormat/>
    <w:pPr>
      <w:ind w:left="-567" w:right="-766"/>
      <w:jc w:val="center"/>
    </w:pPr>
    <w:rPr>
      <w:b/>
      <w:bCs/>
      <w:sz w:val="24"/>
      <w:szCs w:val="20"/>
    </w:rPr>
  </w:style>
  <w:style w:type="paragraph" w:styleId="986" w:customStyle="1">
    <w:name w:val="Подпункт"/>
    <w:basedOn w:val="887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987" w:customStyle="1">
    <w:name w:val="Пункт2"/>
    <w:basedOn w:val="887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988">
    <w:name w:val="toc 1"/>
    <w:basedOn w:val="887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989">
    <w:name w:val="toc 3"/>
    <w:basedOn w:val="887"/>
    <w:uiPriority w:val="39"/>
    <w:pPr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990" w:customStyle="1">
    <w:name w:val="Раздел регламента"/>
    <w:basedOn w:val="887"/>
    <w:qFormat/>
  </w:style>
  <w:style w:type="paragraph" w:styleId="991" w:customStyle="1">
    <w:name w:val="Приложение к регламенту"/>
    <w:basedOn w:val="887"/>
    <w:qFormat/>
    <w:pPr>
      <w:jc w:val="right"/>
    </w:pPr>
  </w:style>
  <w:style w:type="paragraph" w:styleId="992">
    <w:name w:val="toc 2"/>
    <w:basedOn w:val="887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993">
    <w:name w:val="Balloon Text"/>
    <w:basedOn w:val="887"/>
    <w:semiHidden/>
    <w:qFormat/>
    <w:rPr>
      <w:rFonts w:ascii="Tahoma" w:hAnsi="Tahoma" w:cs="Tahoma"/>
      <w:sz w:val="16"/>
      <w:szCs w:val="16"/>
    </w:rPr>
  </w:style>
  <w:style w:type="paragraph" w:styleId="994">
    <w:name w:val="annotation text"/>
    <w:basedOn w:val="887"/>
    <w:qFormat/>
    <w:rPr>
      <w:sz w:val="20"/>
      <w:szCs w:val="20"/>
    </w:rPr>
  </w:style>
  <w:style w:type="paragraph" w:styleId="995">
    <w:name w:val="annotation subject"/>
    <w:basedOn w:val="994"/>
    <w:semiHidden/>
    <w:qFormat/>
    <w:rPr>
      <w:b/>
      <w:bCs/>
    </w:rPr>
  </w:style>
  <w:style w:type="paragraph" w:styleId="996" w:customStyle="1">
    <w:name w:val="Обычный (веб)1"/>
    <w:basedOn w:val="887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97">
    <w:name w:val="toc 9"/>
    <w:basedOn w:val="887"/>
    <w:semiHidden/>
    <w:pPr>
      <w:ind w:left="196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98">
    <w:name w:val="toc 5"/>
    <w:basedOn w:val="887"/>
    <w:semiHidden/>
    <w:pPr>
      <w:ind w:left="84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99">
    <w:name w:val="toc 4"/>
    <w:basedOn w:val="887"/>
    <w:uiPriority w:val="39"/>
    <w:pPr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1000" w:customStyle="1">
    <w:name w:val="Раздел положения 2"/>
    <w:basedOn w:val="887"/>
    <w:qFormat/>
    <w:pPr>
      <w:jc w:val="both"/>
      <w:pageBreakBefore/>
      <w:outlineLvl w:val="0"/>
    </w:pPr>
    <w:rPr>
      <w:b/>
    </w:rPr>
  </w:style>
  <w:style w:type="paragraph" w:styleId="1001" w:customStyle="1">
    <w:name w:val="Знак Знак Знак Знак Знак Знак Знак Знак Знак"/>
    <w:basedOn w:val="887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02">
    <w:name w:val="No Spacing"/>
    <w:basedOn w:val="88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03">
    <w:name w:val="Subtitle"/>
    <w:basedOn w:val="887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1004">
    <w:name w:val="List Paragraph"/>
    <w:basedOn w:val="887"/>
    <w:uiPriority w:val="34"/>
    <w:qFormat/>
    <w:pPr>
      <w:contextualSpacing/>
      <w:ind w:left="720"/>
      <w:spacing w:before="0" w:after="0"/>
    </w:pPr>
    <w:rPr>
      <w:rFonts w:eastAsia="Calibri"/>
      <w:sz w:val="24"/>
      <w:szCs w:val="24"/>
    </w:rPr>
  </w:style>
  <w:style w:type="paragraph" w:styleId="1005">
    <w:name w:val="Quote"/>
    <w:basedOn w:val="88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1006">
    <w:name w:val="Intense Quote"/>
    <w:basedOn w:val="887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1007">
    <w:name w:val="Index Heading"/>
    <w:basedOn w:val="962"/>
  </w:style>
  <w:style w:type="paragraph" w:styleId="1008">
    <w:name w:val="TOC Heading"/>
    <w:basedOn w:val="888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1009">
    <w:name w:val="E-mail Signature"/>
    <w:basedOn w:val="887"/>
    <w:uiPriority w:val="99"/>
    <w:unhideWhenUsed/>
    <w:qFormat/>
    <w:rPr>
      <w:rFonts w:eastAsia="Calibri"/>
      <w:sz w:val="24"/>
      <w:szCs w:val="24"/>
    </w:rPr>
  </w:style>
  <w:style w:type="paragraph" w:styleId="1010" w:customStyle="1">
    <w:name w:val="Знак"/>
    <w:basedOn w:val="887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1" w:customStyle="1">
    <w:name w:val="Нумерованный список ур3"/>
    <w:basedOn w:val="887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2" w:customStyle="1">
    <w:name w:val="Нумерованный список 1"/>
    <w:basedOn w:val="887"/>
    <w:qFormat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1013" w:customStyle="1">
    <w:name w:val="Нумерованный список ур2"/>
    <w:basedOn w:val="887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1014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Lohit Devanagari"/>
      <w:color w:val="auto"/>
      <w:sz w:val="24"/>
      <w:szCs w:val="24"/>
      <w:lang w:val="ru-RU" w:eastAsia="ru-RU" w:bidi="ar-SA"/>
    </w:rPr>
  </w:style>
  <w:style w:type="paragraph" w:styleId="1015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Tahoma" w:cs="Arial"/>
      <w:color w:val="auto"/>
      <w:sz w:val="20"/>
      <w:szCs w:val="20"/>
      <w:lang w:val="ru-RU" w:eastAsia="ru-RU" w:bidi="ar-SA"/>
    </w:rPr>
  </w:style>
  <w:style w:type="paragraph" w:styleId="1016" w:customStyle="1">
    <w:name w:val="Знак Знак3 Знак Знак"/>
    <w:basedOn w:val="887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17" w:customStyle="1">
    <w:name w:val="Пункт"/>
    <w:basedOn w:val="887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1018" w:customStyle="1">
    <w:name w:val="Абзац списка1"/>
    <w:basedOn w:val="887"/>
    <w:qFormat/>
    <w:pPr>
      <w:contextualSpacing/>
      <w:ind w:left="72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19" w:customStyle="1">
    <w:name w:val="Таблица"/>
    <w:basedOn w:val="88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020" w:customStyle="1">
    <w:name w:val="Таблица шапка"/>
    <w:basedOn w:val="887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1021" w:customStyle="1">
    <w:name w:val="Подподпункт"/>
    <w:basedOn w:val="986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  <w:lang w:val="ru-RU" w:eastAsia="ru-RU"/>
    </w:rPr>
  </w:style>
  <w:style w:type="paragraph" w:styleId="1022" w:customStyle="1">
    <w:name w:val="УРОВЕНЬ_(а)"/>
    <w:basedOn w:val="1004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1023" w:customStyle="1">
    <w:name w:val="УРОВЕНЬ_-"/>
    <w:basedOn w:val="1004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1024" w:customStyle="1">
    <w:name w:val="УРОВЕНЬ_Абзац_тип2"/>
    <w:basedOn w:val="1004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25" w:customStyle="1">
    <w:name w:val="УРОВЕНЬ_Абзац_тип3"/>
    <w:basedOn w:val="1004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26" w:customStyle="1">
    <w:name w:val="УРОВЕНЬ_Подпись"/>
    <w:basedOn w:val="1004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027" w:customStyle="1">
    <w:name w:val="Стиль Заголовок 1 + по ширине"/>
    <w:basedOn w:val="888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28">
    <w:name w:val="endnote text"/>
    <w:basedOn w:val="887"/>
    <w:rPr>
      <w:sz w:val="20"/>
      <w:szCs w:val="20"/>
    </w:rPr>
  </w:style>
  <w:style w:type="paragraph" w:styleId="1029" w:customStyle="1">
    <w:name w:val="Заголовок 2 КВВ"/>
    <w:basedOn w:val="887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030" w:customStyle="1">
    <w:name w:val="Таблица текст"/>
    <w:basedOn w:val="887"/>
    <w:qFormat/>
    <w:pPr>
      <w:ind w:left="57" w:right="57"/>
      <w:spacing w:before="40" w:after="40"/>
    </w:pPr>
    <w:rPr>
      <w:sz w:val="24"/>
      <w:szCs w:val="26"/>
    </w:rPr>
  </w:style>
  <w:style w:type="paragraph" w:styleId="1031">
    <w:name w:val="Normal (Web)"/>
    <w:basedOn w:val="887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032" w:customStyle="1">
    <w:name w:val="УРОВЕНЬ_1."/>
    <w:basedOn w:val="1004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033">
    <w:name w:val="toc 6"/>
    <w:basedOn w:val="887"/>
    <w:unhideWhenUsed/>
    <w:pPr>
      <w:ind w:left="112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34">
    <w:name w:val="toc 7"/>
    <w:basedOn w:val="887"/>
    <w:unhideWhenUsed/>
    <w:pPr>
      <w:ind w:left="140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35">
    <w:name w:val="toc 8"/>
    <w:basedOn w:val="887"/>
    <w:unhideWhenUsed/>
    <w:pPr>
      <w:ind w:left="168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36" w:customStyle="1">
    <w:name w:val="Пункт Знак"/>
    <w:basedOn w:val="887"/>
    <w:qFormat/>
    <w:pPr>
      <w:ind w:left="1844" w:hanging="567"/>
      <w:jc w:val="both"/>
      <w:spacing w:line="360" w:lineRule="auto"/>
      <w:tabs>
        <w:tab w:val="clear" w:pos="708" w:leader="none"/>
        <w:tab w:val="left" w:pos="851" w:leader="none"/>
        <w:tab w:val="left" w:pos="1134" w:leader="none"/>
        <w:tab w:val="left" w:pos="1844" w:leader="none"/>
      </w:tabs>
    </w:pPr>
    <w:rPr>
      <w:b/>
      <w:szCs w:val="20"/>
    </w:rPr>
  </w:style>
  <w:style w:type="paragraph" w:styleId="1037" w:customStyle="1">
    <w:name w:val="Подподподпункт"/>
    <w:basedOn w:val="887"/>
    <w:qFormat/>
    <w:pPr>
      <w:ind w:left="1718" w:hanging="1008"/>
      <w:jc w:val="both"/>
      <w:spacing w:line="360" w:lineRule="auto"/>
      <w:tabs>
        <w:tab w:val="clear" w:pos="708" w:leader="none"/>
        <w:tab w:val="left" w:pos="1134" w:leader="none"/>
        <w:tab w:val="left" w:pos="1701" w:leader="none"/>
      </w:tabs>
    </w:pPr>
    <w:rPr>
      <w:szCs w:val="20"/>
    </w:rPr>
  </w:style>
  <w:style w:type="paragraph" w:styleId="1038" w:customStyle="1">
    <w:name w:val="Пункт1"/>
    <w:basedOn w:val="887"/>
    <w:qFormat/>
    <w:pPr>
      <w:ind w:left="567" w:hanging="279"/>
      <w:jc w:val="center"/>
      <w:spacing w:before="240" w:after="0" w:line="360" w:lineRule="auto"/>
      <w:tabs>
        <w:tab w:val="left" w:pos="567" w:leader="none"/>
        <w:tab w:val="clear" w:pos="708" w:leader="none"/>
      </w:tabs>
    </w:pPr>
    <w:rPr>
      <w:rFonts w:ascii="Arial" w:hAnsi="Arial"/>
      <w:b/>
    </w:rPr>
  </w:style>
  <w:style w:type="paragraph" w:styleId="1039">
    <w:name w:val="Содержимое врезки"/>
    <w:basedOn w:val="887"/>
    <w:qFormat/>
  </w:style>
  <w:style w:type="numbering" w:styleId="1040" w:default="1">
    <w:name w:val="No List"/>
    <w:uiPriority w:val="99"/>
    <w:semiHidden/>
    <w:unhideWhenUsed/>
    <w:qFormat/>
  </w:style>
  <w:style w:type="numbering" w:styleId="1041" w:customStyle="1">
    <w:name w:val="Стиль1"/>
    <w:uiPriority w:val="99"/>
    <w:qFormat/>
  </w:style>
  <w:style w:type="numbering" w:styleId="1042" w:customStyle="1">
    <w:name w:val="Стиль2"/>
    <w:uiPriority w:val="99"/>
    <w:qFormat/>
  </w:style>
  <w:style w:type="table" w:styleId="1043" w:default="1">
    <w:name w:val="Normal Table"/>
    <w:uiPriority w:val="99"/>
    <w:semiHidden/>
    <w:unhideWhenUsed/>
    <w:tblPr/>
  </w:style>
  <w:style w:type="paragraph" w:styleId="1044" w:customStyle="1">
    <w:name w:val="dt-p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image" Target="media/image2.emf"/><Relationship Id="rId15" Type="http://schemas.openxmlformats.org/officeDocument/2006/relationships/image" Target="media/media1.svg"/><Relationship Id="rId16" Type="http://schemas.openxmlformats.org/officeDocument/2006/relationships/image" Target="media/image3.emf"/><Relationship Id="rId17" Type="http://schemas.openxmlformats.org/officeDocument/2006/relationships/image" Target="media/media2.svg"/><Relationship Id="rId18" Type="http://schemas.openxmlformats.org/officeDocument/2006/relationships/image" Target="media/image4.jpg"/><Relationship Id="rId19" Type="http://schemas.openxmlformats.org/officeDocument/2006/relationships/image" Target="media/image5.emf"/><Relationship Id="rId20" Type="http://schemas.openxmlformats.org/officeDocument/2006/relationships/image" Target="media/media3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5C116-D1DD-44D2-9427-231D1C34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kuzmischeva_iv</cp:lastModifiedBy>
  <cp:revision>30</cp:revision>
  <dcterms:created xsi:type="dcterms:W3CDTF">2024-04-23T23:02:00Z</dcterms:created>
  <dcterms:modified xsi:type="dcterms:W3CDTF">2026-03-02T06:51:09Z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